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07" w:rsidRPr="0032687B" w:rsidRDefault="00F607BF" w:rsidP="00F80607">
      <w:pPr>
        <w:autoSpaceDE w:val="0"/>
        <w:autoSpaceDN w:val="0"/>
        <w:adjustRightInd w:val="0"/>
        <w:spacing w:after="120"/>
        <w:ind w:firstLine="204"/>
        <w:jc w:val="both"/>
        <w:rPr>
          <w:rFonts w:ascii="Calibri" w:hAnsi="Calibri"/>
          <w:b/>
        </w:rPr>
      </w:pPr>
      <w:r w:rsidRPr="0032687B">
        <w:rPr>
          <w:rFonts w:ascii="Calibri" w:hAnsi="Calibri"/>
          <w:b/>
        </w:rPr>
        <w:t>3. Gazdálkodási adatok</w:t>
      </w:r>
    </w:p>
    <w:p w:rsidR="00077AAE" w:rsidRPr="00077AAE" w:rsidRDefault="00077AAE" w:rsidP="00077AAE"/>
    <w:p w:rsidR="004F1EDC" w:rsidRPr="0032687B" w:rsidRDefault="004F1EDC" w:rsidP="009A16D0">
      <w:pPr>
        <w:autoSpaceDE w:val="0"/>
        <w:autoSpaceDN w:val="0"/>
        <w:adjustRightInd w:val="0"/>
        <w:spacing w:after="120"/>
        <w:ind w:firstLine="204"/>
        <w:jc w:val="both"/>
        <w:rPr>
          <w:rFonts w:ascii="Calibri" w:hAnsi="Calibri"/>
          <w:b/>
          <w:i/>
        </w:rPr>
      </w:pPr>
      <w:r w:rsidRPr="0032687B">
        <w:rPr>
          <w:rFonts w:ascii="Calibri" w:hAnsi="Calibri"/>
          <w:b/>
          <w:i/>
        </w:rPr>
        <w:t>3.</w:t>
      </w:r>
      <w:r w:rsidR="009A16D0" w:rsidRPr="0032687B">
        <w:rPr>
          <w:rFonts w:ascii="Calibri" w:hAnsi="Calibri"/>
          <w:b/>
          <w:i/>
        </w:rPr>
        <w:t>3</w:t>
      </w:r>
      <w:r w:rsidRPr="0032687B">
        <w:rPr>
          <w:rFonts w:ascii="Calibri" w:hAnsi="Calibri"/>
          <w:b/>
          <w:i/>
        </w:rPr>
        <w:t>.</w:t>
      </w:r>
      <w:r w:rsidR="009A16D0" w:rsidRPr="0032687B">
        <w:rPr>
          <w:rFonts w:ascii="Calibri" w:hAnsi="Calibri"/>
          <w:b/>
          <w:i/>
        </w:rPr>
        <w:t>Egyebek</w:t>
      </w:r>
    </w:p>
    <w:p w:rsidR="005B5388" w:rsidRPr="00B42F94" w:rsidRDefault="00814494" w:rsidP="00B42F94">
      <w:pPr>
        <w:ind w:firstLine="180"/>
        <w:jc w:val="center"/>
        <w:rPr>
          <w:rFonts w:ascii="Calibri" w:hAnsi="Calibri"/>
          <w:b/>
          <w:i/>
          <w:sz w:val="28"/>
          <w:szCs w:val="28"/>
        </w:rPr>
      </w:pPr>
      <w:r w:rsidRPr="00B42F94">
        <w:rPr>
          <w:rFonts w:ascii="Calibri" w:hAnsi="Calibri"/>
          <w:b/>
          <w:i/>
          <w:sz w:val="28"/>
          <w:szCs w:val="28"/>
        </w:rPr>
        <w:t xml:space="preserve">Bodajk Város Önkormányzat 5 millió Ft-ot meghaladó </w:t>
      </w:r>
      <w:r w:rsidR="00B42F94" w:rsidRPr="00B42F94">
        <w:rPr>
          <w:rFonts w:ascii="Calibri" w:hAnsi="Calibri"/>
          <w:b/>
          <w:i/>
          <w:sz w:val="28"/>
          <w:szCs w:val="28"/>
        </w:rPr>
        <w:t>szerződései</w:t>
      </w:r>
      <w:r w:rsidRPr="00B42F94">
        <w:rPr>
          <w:rFonts w:ascii="Calibri" w:hAnsi="Calibri"/>
          <w:b/>
          <w:i/>
          <w:sz w:val="28"/>
          <w:szCs w:val="28"/>
        </w:rPr>
        <w:t xml:space="preserve"> 2013.</w:t>
      </w:r>
    </w:p>
    <w:p w:rsidR="00995BF1" w:rsidRPr="00B42F94" w:rsidRDefault="00995BF1" w:rsidP="00995BF1">
      <w:pPr>
        <w:rPr>
          <w:rFonts w:ascii="Calibri" w:hAnsi="Calibri"/>
          <w:b/>
          <w:sz w:val="28"/>
          <w:szCs w:val="28"/>
        </w:rPr>
      </w:pPr>
    </w:p>
    <w:p w:rsidR="00077AAE" w:rsidRDefault="00077AAE" w:rsidP="00077AAE">
      <w:pPr>
        <w:jc w:val="center"/>
        <w:rPr>
          <w:rFonts w:ascii="Calibri" w:hAnsi="Calibri"/>
          <w:b/>
          <w:bCs/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8"/>
      </w:tblGrid>
      <w:tr w:rsidR="0032687B" w:rsidRPr="0032687B" w:rsidTr="0032687B">
        <w:tc>
          <w:tcPr>
            <w:tcW w:w="8788" w:type="dxa"/>
            <w:shd w:val="clear" w:color="auto" w:fill="95B3D7" w:themeFill="accent1" w:themeFillTint="99"/>
          </w:tcPr>
          <w:p w:rsidR="007C33A6" w:rsidRPr="0032687B" w:rsidRDefault="007C33A6" w:rsidP="007C33A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2687B">
              <w:rPr>
                <w:rFonts w:ascii="Calibri" w:hAnsi="Calibri"/>
                <w:b/>
                <w:bCs/>
                <w:sz w:val="28"/>
                <w:szCs w:val="28"/>
              </w:rPr>
              <w:t>Szerződések</w:t>
            </w:r>
          </w:p>
          <w:p w:rsidR="007C33A6" w:rsidRPr="0032687B" w:rsidRDefault="007C33A6" w:rsidP="007C33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</w:rPr>
            </w:pPr>
            <w:r w:rsidRPr="0032687B">
              <w:rPr>
                <w:sz w:val="20"/>
                <w:szCs w:val="20"/>
              </w:rPr>
              <w:t xml:space="preserve">Az államháztartás pénzeszközei felhasználásával, az államháztartáshoz tartozó vagyonnal történő gazdálkodással összefüggő - a külön jogszabályban meghatározott értékű - árubeszerzésre, építési beruházásra, szolgáltatás megrendelésre, vagyonértékesítésre, vagyonhasznosításra, vagyon vagy vagyoni értékű jog átadására, valamint koncesszióba adásra vonatkozó szerződések megnevezése (típusa), tárgya, a szerződő felek megnevezése, a </w:t>
            </w:r>
            <w:proofErr w:type="gramStart"/>
            <w:r w:rsidRPr="0032687B">
              <w:rPr>
                <w:sz w:val="20"/>
                <w:szCs w:val="20"/>
              </w:rPr>
              <w:t>szerződések  értéke</w:t>
            </w:r>
            <w:proofErr w:type="gramEnd"/>
            <w:r w:rsidRPr="0032687B">
              <w:rPr>
                <w:sz w:val="20"/>
                <w:szCs w:val="20"/>
              </w:rPr>
              <w:t>, időtartama</w:t>
            </w:r>
            <w:r w:rsidRPr="0032687B">
              <w:rPr>
                <w:rStyle w:val="Lbjegyzet-hivatkozs"/>
                <w:sz w:val="20"/>
                <w:szCs w:val="20"/>
              </w:rPr>
              <w:footnoteReference w:id="1"/>
            </w:r>
          </w:p>
        </w:tc>
      </w:tr>
      <w:tr w:rsidR="007C33A6" w:rsidRPr="007C33A6" w:rsidTr="0032687B">
        <w:tc>
          <w:tcPr>
            <w:tcW w:w="8788" w:type="dxa"/>
            <w:shd w:val="clear" w:color="auto" w:fill="DDD9C3"/>
            <w:vAlign w:val="center"/>
          </w:tcPr>
          <w:tbl>
            <w:tblPr>
              <w:tblW w:w="928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1886"/>
              <w:gridCol w:w="1356"/>
              <w:gridCol w:w="1356"/>
              <w:gridCol w:w="2815"/>
            </w:tblGrid>
            <w:tr w:rsidR="00814494" w:rsidRPr="00814494" w:rsidTr="0032687B">
              <w:tc>
                <w:tcPr>
                  <w:tcW w:w="1875" w:type="dxa"/>
                </w:tcPr>
                <w:p w:rsidR="00814494" w:rsidRPr="00814494" w:rsidRDefault="00814494" w:rsidP="00814494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814494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 xml:space="preserve">SZÁLLÍTÓ </w:t>
                  </w:r>
                </w:p>
                <w:p w:rsidR="00814494" w:rsidRPr="00814494" w:rsidRDefault="00814494" w:rsidP="00814494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814494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MEGNEVEZÉSE</w:t>
                  </w:r>
                </w:p>
              </w:tc>
              <w:tc>
                <w:tcPr>
                  <w:tcW w:w="1886" w:type="dxa"/>
                </w:tcPr>
                <w:p w:rsidR="00814494" w:rsidRPr="00814494" w:rsidRDefault="00814494" w:rsidP="00814494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814494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 xml:space="preserve">SZERZŐDÉS </w:t>
                  </w:r>
                </w:p>
                <w:p w:rsidR="00814494" w:rsidRPr="00814494" w:rsidRDefault="00814494" w:rsidP="00814494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814494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TÁRGYA</w:t>
                  </w:r>
                </w:p>
              </w:tc>
              <w:tc>
                <w:tcPr>
                  <w:tcW w:w="1356" w:type="dxa"/>
                </w:tcPr>
                <w:p w:rsidR="00814494" w:rsidRPr="00814494" w:rsidRDefault="00814494" w:rsidP="00814494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814494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SZERZŐDÉS</w:t>
                  </w:r>
                </w:p>
                <w:p w:rsidR="00814494" w:rsidRPr="00814494" w:rsidRDefault="00814494" w:rsidP="00814494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814494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KELTE</w:t>
                  </w:r>
                </w:p>
              </w:tc>
              <w:tc>
                <w:tcPr>
                  <w:tcW w:w="1356" w:type="dxa"/>
                </w:tcPr>
                <w:p w:rsidR="00814494" w:rsidRPr="00814494" w:rsidRDefault="00814494" w:rsidP="00814494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814494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SZERZŐDÉS</w:t>
                  </w:r>
                </w:p>
                <w:p w:rsidR="00814494" w:rsidRPr="00814494" w:rsidRDefault="00814494" w:rsidP="00814494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814494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LEJÁRATA</w:t>
                  </w:r>
                </w:p>
              </w:tc>
              <w:tc>
                <w:tcPr>
                  <w:tcW w:w="2815" w:type="dxa"/>
                </w:tcPr>
                <w:p w:rsidR="00814494" w:rsidRPr="00814494" w:rsidRDefault="00814494" w:rsidP="00814494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814494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SZERZŐDÉS</w:t>
                  </w:r>
                </w:p>
                <w:p w:rsidR="00814494" w:rsidRPr="00814494" w:rsidRDefault="00814494" w:rsidP="00814494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</w:pPr>
                  <w:r w:rsidRPr="00814494">
                    <w:rPr>
                      <w:rFonts w:ascii="Calibri" w:eastAsia="Calibri" w:hAnsi="Calibri"/>
                      <w:b/>
                      <w:bCs/>
                      <w:color w:val="365F91"/>
                      <w:lang w:eastAsia="en-US"/>
                    </w:rPr>
                    <w:t>BRUTTÓ ÖSSZEGE Ft.</w:t>
                  </w:r>
                </w:p>
              </w:tc>
            </w:tr>
            <w:tr w:rsidR="00F32D31" w:rsidRPr="00814494" w:rsidTr="0032687B">
              <w:tc>
                <w:tcPr>
                  <w:tcW w:w="187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 xml:space="preserve">OTP Bank </w:t>
                  </w:r>
                  <w:proofErr w:type="spellStart"/>
                  <w:r w:rsidRPr="0032687B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>NyRt</w:t>
                  </w:r>
                  <w:proofErr w:type="spellEnd"/>
                  <w:r w:rsidRPr="0032687B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88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Betéti szerződés</w:t>
                  </w:r>
                </w:p>
              </w:tc>
              <w:tc>
                <w:tcPr>
                  <w:tcW w:w="13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2013.</w:t>
                  </w:r>
                  <w:r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03.13</w:t>
                  </w:r>
                </w:p>
              </w:tc>
              <w:tc>
                <w:tcPr>
                  <w:tcW w:w="13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90 nap</w:t>
                  </w:r>
                </w:p>
              </w:tc>
              <w:tc>
                <w:tcPr>
                  <w:tcW w:w="281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32</w:t>
                  </w: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 000 </w:t>
                  </w:r>
                  <w:proofErr w:type="spellStart"/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000</w:t>
                  </w:r>
                  <w:proofErr w:type="spellEnd"/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 Ft</w:t>
                  </w:r>
                </w:p>
              </w:tc>
            </w:tr>
            <w:tr w:rsidR="00F32D31" w:rsidRPr="00814494" w:rsidTr="0032687B">
              <w:tc>
                <w:tcPr>
                  <w:tcW w:w="187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 xml:space="preserve">OTP Bank </w:t>
                  </w:r>
                  <w:proofErr w:type="spellStart"/>
                  <w:r w:rsidRPr="0032687B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>NyRt</w:t>
                  </w:r>
                  <w:proofErr w:type="spellEnd"/>
                  <w:r w:rsidRPr="0032687B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88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Betéti szerződés</w:t>
                  </w:r>
                </w:p>
              </w:tc>
              <w:tc>
                <w:tcPr>
                  <w:tcW w:w="13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2013.06.13</w:t>
                  </w:r>
                </w:p>
              </w:tc>
              <w:tc>
                <w:tcPr>
                  <w:tcW w:w="13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90 nap</w:t>
                  </w:r>
                </w:p>
              </w:tc>
              <w:tc>
                <w:tcPr>
                  <w:tcW w:w="281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25 000 </w:t>
                  </w:r>
                  <w:proofErr w:type="spellStart"/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000</w:t>
                  </w:r>
                  <w:proofErr w:type="spellEnd"/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 Ft</w:t>
                  </w:r>
                </w:p>
              </w:tc>
            </w:tr>
            <w:tr w:rsidR="00F32D31" w:rsidRPr="005C21C3" w:rsidTr="0032687B">
              <w:tc>
                <w:tcPr>
                  <w:tcW w:w="187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DD9C3" w:themeFill="background2" w:themeFillShade="E6"/>
                  <w:vAlign w:val="center"/>
                </w:tcPr>
                <w:p w:rsidR="00F32D31" w:rsidRPr="0032687B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32687B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>Klebersberg</w:t>
                  </w:r>
                  <w:proofErr w:type="spellEnd"/>
                  <w:r w:rsidRPr="0032687B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 xml:space="preserve"> Intézményfenntartó Központ</w:t>
                  </w:r>
                </w:p>
              </w:tc>
              <w:tc>
                <w:tcPr>
                  <w:tcW w:w="188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DD9C3" w:themeFill="background2" w:themeFillShade="E6"/>
                </w:tcPr>
                <w:p w:rsidR="00F32D31" w:rsidRPr="0032687B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Intézmény üzemeltetés</w:t>
                  </w:r>
                  <w:proofErr w:type="gramEnd"/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F32D31" w:rsidRPr="0032687B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Vagyonkezelési szerződés</w:t>
                  </w:r>
                </w:p>
              </w:tc>
              <w:tc>
                <w:tcPr>
                  <w:tcW w:w="13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DD9C3" w:themeFill="background2" w:themeFillShade="E6"/>
                  <w:vAlign w:val="center"/>
                </w:tcPr>
                <w:p w:rsidR="00F32D31" w:rsidRPr="0032687B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2013.06.27</w:t>
                  </w:r>
                </w:p>
              </w:tc>
              <w:tc>
                <w:tcPr>
                  <w:tcW w:w="13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DD9C3" w:themeFill="background2" w:themeFillShade="E6"/>
                  <w:vAlign w:val="center"/>
                </w:tcPr>
                <w:p w:rsidR="00F32D31" w:rsidRPr="0032687B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2015.08.30.</w:t>
                  </w:r>
                </w:p>
              </w:tc>
              <w:tc>
                <w:tcPr>
                  <w:tcW w:w="281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DD9C3" w:themeFill="background2" w:themeFillShade="E6"/>
                  <w:vAlign w:val="center"/>
                </w:tcPr>
                <w:p w:rsidR="00F32D31" w:rsidRPr="0032687B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1 932 000 Ft/hó</w:t>
                  </w:r>
                </w:p>
              </w:tc>
            </w:tr>
            <w:tr w:rsidR="00F32D31" w:rsidRPr="005C21C3" w:rsidTr="00280819">
              <w:tc>
                <w:tcPr>
                  <w:tcW w:w="187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32687B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>Klein Park Kft</w:t>
                  </w:r>
                </w:p>
              </w:tc>
              <w:tc>
                <w:tcPr>
                  <w:tcW w:w="188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32687B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Petőfi u. járda kiépítése (Arany </w:t>
                  </w:r>
                  <w:proofErr w:type="spellStart"/>
                  <w:proofErr w:type="gramStart"/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J.u</w:t>
                  </w:r>
                  <w:proofErr w:type="spellEnd"/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 .</w:t>
                  </w:r>
                  <w:proofErr w:type="gramEnd"/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 felé)</w:t>
                  </w:r>
                </w:p>
              </w:tc>
              <w:tc>
                <w:tcPr>
                  <w:tcW w:w="13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vAlign w:val="center"/>
                </w:tcPr>
                <w:p w:rsidR="00F32D31" w:rsidRPr="0032687B" w:rsidRDefault="00F32D31" w:rsidP="00280819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2013.11.06</w:t>
                  </w:r>
                </w:p>
              </w:tc>
              <w:tc>
                <w:tcPr>
                  <w:tcW w:w="13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vAlign w:val="center"/>
                </w:tcPr>
                <w:p w:rsidR="00F32D31" w:rsidRPr="0032687B" w:rsidRDefault="00280819" w:rsidP="00280819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2014.05.02.</w:t>
                  </w:r>
                </w:p>
              </w:tc>
              <w:tc>
                <w:tcPr>
                  <w:tcW w:w="281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vAlign w:val="center"/>
                </w:tcPr>
                <w:p w:rsidR="00F32D31" w:rsidRPr="0032687B" w:rsidRDefault="00F32D31" w:rsidP="00280819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14 600 000 Ft</w:t>
                  </w:r>
                </w:p>
              </w:tc>
            </w:tr>
            <w:tr w:rsidR="00F32D31" w:rsidRPr="005C21C3" w:rsidTr="0032687B">
              <w:tc>
                <w:tcPr>
                  <w:tcW w:w="187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 xml:space="preserve">OTP Bank </w:t>
                  </w:r>
                  <w:proofErr w:type="spellStart"/>
                  <w:r w:rsidRPr="0032687B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>NyRt</w:t>
                  </w:r>
                  <w:proofErr w:type="spellEnd"/>
                  <w:r w:rsidRPr="0032687B">
                    <w:rPr>
                      <w:rFonts w:ascii="Calibri" w:eastAsia="Calibri" w:hAnsi="Calibri"/>
                      <w:b/>
                      <w:bCs/>
                      <w:color w:val="365F91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88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Betéti szerződés</w:t>
                  </w:r>
                </w:p>
              </w:tc>
              <w:tc>
                <w:tcPr>
                  <w:tcW w:w="13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2013.</w:t>
                  </w:r>
                  <w:r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12.09</w:t>
                  </w:r>
                </w:p>
              </w:tc>
              <w:tc>
                <w:tcPr>
                  <w:tcW w:w="135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90 nap</w:t>
                  </w:r>
                </w:p>
              </w:tc>
              <w:tc>
                <w:tcPr>
                  <w:tcW w:w="281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32D31" w:rsidRPr="00814494" w:rsidRDefault="00F32D31" w:rsidP="00F32D31">
                  <w:pPr>
                    <w:framePr w:hSpace="142" w:wrap="around" w:vAnchor="text" w:hAnchor="text" w:xAlign="center" w:y="1"/>
                    <w:suppressOverlap/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16</w:t>
                  </w:r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 000 </w:t>
                  </w:r>
                  <w:proofErr w:type="spellStart"/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>000</w:t>
                  </w:r>
                  <w:proofErr w:type="spellEnd"/>
                  <w:r w:rsidRPr="0032687B">
                    <w:rPr>
                      <w:rFonts w:ascii="Calibri" w:eastAsia="Calibri" w:hAnsi="Calibri"/>
                      <w:color w:val="365F91"/>
                      <w:sz w:val="22"/>
                      <w:szCs w:val="22"/>
                      <w:lang w:eastAsia="en-US"/>
                    </w:rPr>
                    <w:t xml:space="preserve"> Ft</w:t>
                  </w:r>
                </w:p>
              </w:tc>
            </w:tr>
          </w:tbl>
          <w:p w:rsidR="007C33A6" w:rsidRPr="007C33A6" w:rsidRDefault="007C33A6" w:rsidP="00045525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</w:tc>
      </w:tr>
    </w:tbl>
    <w:p w:rsidR="00E15998" w:rsidRPr="001D715B" w:rsidRDefault="00E15998" w:rsidP="003A4D55">
      <w:pPr>
        <w:rPr>
          <w:rFonts w:ascii="Calibri" w:hAnsi="Calibri"/>
          <w:bCs/>
          <w:sz w:val="20"/>
          <w:szCs w:val="20"/>
        </w:rPr>
      </w:pPr>
      <w:bookmarkStart w:id="0" w:name="_GoBack"/>
      <w:bookmarkEnd w:id="0"/>
    </w:p>
    <w:sectPr w:rsidR="00E15998" w:rsidRPr="001D715B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0D" w:rsidRDefault="00504E0D">
      <w:r>
        <w:separator/>
      </w:r>
    </w:p>
  </w:endnote>
  <w:endnote w:type="continuationSeparator" w:id="0">
    <w:p w:rsidR="00504E0D" w:rsidRDefault="0050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0D" w:rsidRDefault="00504E0D">
      <w:r>
        <w:separator/>
      </w:r>
    </w:p>
  </w:footnote>
  <w:footnote w:type="continuationSeparator" w:id="0">
    <w:p w:rsidR="00504E0D" w:rsidRDefault="00504E0D">
      <w:r>
        <w:continuationSeparator/>
      </w:r>
    </w:p>
  </w:footnote>
  <w:footnote w:id="1">
    <w:p w:rsidR="007C33A6" w:rsidRDefault="007C33A6" w:rsidP="007C33A6">
      <w:pPr>
        <w:pStyle w:val="Lbjegyzetszveg"/>
      </w:pPr>
      <w:r>
        <w:rPr>
          <w:rStyle w:val="Lbjegyzet-hivatkozs"/>
        </w:rPr>
        <w:footnoteRef/>
      </w:r>
      <w:r>
        <w:t xml:space="preserve"> E közzétételi kötelezettség teljesíthető az államháztartásról szóló 1992. évi XXXVIII. törvény 15/B. §-</w:t>
      </w:r>
      <w:proofErr w:type="gramStart"/>
      <w:r>
        <w:t>a</w:t>
      </w:r>
      <w:proofErr w:type="gramEnd"/>
      <w:r>
        <w:t xml:space="preserve"> által előírt közzétételi kötelezettségekkel együttesen, vagy az ezek alapján már közzétett adatokra hivatkozással 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58"/>
    <w:rsid w:val="000034D9"/>
    <w:rsid w:val="00023C91"/>
    <w:rsid w:val="00043459"/>
    <w:rsid w:val="00045525"/>
    <w:rsid w:val="000724C3"/>
    <w:rsid w:val="00077AAE"/>
    <w:rsid w:val="00084AAB"/>
    <w:rsid w:val="000E666D"/>
    <w:rsid w:val="000F14C6"/>
    <w:rsid w:val="00105169"/>
    <w:rsid w:val="001322BB"/>
    <w:rsid w:val="00174ED1"/>
    <w:rsid w:val="001D4887"/>
    <w:rsid w:val="001D715B"/>
    <w:rsid w:val="001F2C3A"/>
    <w:rsid w:val="00210098"/>
    <w:rsid w:val="00220CD5"/>
    <w:rsid w:val="00260BC9"/>
    <w:rsid w:val="00270AF1"/>
    <w:rsid w:val="00280819"/>
    <w:rsid w:val="00307A1B"/>
    <w:rsid w:val="0032687B"/>
    <w:rsid w:val="003A4D55"/>
    <w:rsid w:val="003C25F8"/>
    <w:rsid w:val="003C5ADB"/>
    <w:rsid w:val="003F1F3E"/>
    <w:rsid w:val="004056C1"/>
    <w:rsid w:val="00415A77"/>
    <w:rsid w:val="0046567C"/>
    <w:rsid w:val="004D2AEF"/>
    <w:rsid w:val="004F1EDC"/>
    <w:rsid w:val="00504E0D"/>
    <w:rsid w:val="00555CEE"/>
    <w:rsid w:val="005855B2"/>
    <w:rsid w:val="005B5388"/>
    <w:rsid w:val="00636200"/>
    <w:rsid w:val="00654ECA"/>
    <w:rsid w:val="006D2D3F"/>
    <w:rsid w:val="006F3DD1"/>
    <w:rsid w:val="00717742"/>
    <w:rsid w:val="00753AB3"/>
    <w:rsid w:val="00757805"/>
    <w:rsid w:val="007C0ECA"/>
    <w:rsid w:val="007C33A6"/>
    <w:rsid w:val="00807AB1"/>
    <w:rsid w:val="00814494"/>
    <w:rsid w:val="008264E2"/>
    <w:rsid w:val="0087254A"/>
    <w:rsid w:val="008E6430"/>
    <w:rsid w:val="00923AC0"/>
    <w:rsid w:val="00941B59"/>
    <w:rsid w:val="00944A39"/>
    <w:rsid w:val="00995BF1"/>
    <w:rsid w:val="009A16D0"/>
    <w:rsid w:val="009B1D1D"/>
    <w:rsid w:val="00A300A8"/>
    <w:rsid w:val="00A35CAE"/>
    <w:rsid w:val="00A759C9"/>
    <w:rsid w:val="00A945AE"/>
    <w:rsid w:val="00A97546"/>
    <w:rsid w:val="00AD7AEA"/>
    <w:rsid w:val="00AE1EA3"/>
    <w:rsid w:val="00AE700C"/>
    <w:rsid w:val="00AF1F21"/>
    <w:rsid w:val="00B42F94"/>
    <w:rsid w:val="00B805CA"/>
    <w:rsid w:val="00C6102F"/>
    <w:rsid w:val="00C76F51"/>
    <w:rsid w:val="00C777A9"/>
    <w:rsid w:val="00C86C6A"/>
    <w:rsid w:val="00C91218"/>
    <w:rsid w:val="00CA2F9A"/>
    <w:rsid w:val="00CC4944"/>
    <w:rsid w:val="00CD7129"/>
    <w:rsid w:val="00D13EFD"/>
    <w:rsid w:val="00D32C84"/>
    <w:rsid w:val="00D77658"/>
    <w:rsid w:val="00D81FD7"/>
    <w:rsid w:val="00DD64CF"/>
    <w:rsid w:val="00DE4F84"/>
    <w:rsid w:val="00DF5390"/>
    <w:rsid w:val="00E15998"/>
    <w:rsid w:val="00E21DB5"/>
    <w:rsid w:val="00E245CD"/>
    <w:rsid w:val="00E421D2"/>
    <w:rsid w:val="00E9303E"/>
    <w:rsid w:val="00EE55D0"/>
    <w:rsid w:val="00F32D31"/>
    <w:rsid w:val="00F4121F"/>
    <w:rsid w:val="00F607BF"/>
    <w:rsid w:val="00F80607"/>
    <w:rsid w:val="00F9355D"/>
    <w:rsid w:val="00FE4F6E"/>
    <w:rsid w:val="00FE63D4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semiHidden/>
    <w:rsid w:val="00270A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semiHidden/>
    <w:rsid w:val="0027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Elérhetőségi adatok</vt:lpstr>
    </vt:vector>
  </TitlesOfParts>
  <Company>KÖZTISZTVISELŐ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creator>Paragi Zoltán</dc:creator>
  <cp:lastModifiedBy>Sándor</cp:lastModifiedBy>
  <cp:revision>3</cp:revision>
  <dcterms:created xsi:type="dcterms:W3CDTF">2015-01-27T08:42:00Z</dcterms:created>
  <dcterms:modified xsi:type="dcterms:W3CDTF">2015-01-27T10:20:00Z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-1735008630</vt:i4>
  </property>
  <property fmtid="{D5CDD505-2E9C-101B-9397-08002B2CF9AE}" pid="3" name="_EmailSubject">
    <vt:lpwstr>Közzétételi egység minták</vt:lpwstr>
  </property>
  <property fmtid="{D5CDD505-2E9C-101B-9397-08002B2CF9AE}" pid="4" name="_AuthorEmail">
    <vt:lpwstr>paragiz@zalaszam.hu</vt:lpwstr>
  </property>
  <property fmtid="{D5CDD505-2E9C-101B-9397-08002B2CF9AE}" pid="5" name="_AuthorEmailDisplayName">
    <vt:lpwstr>Paragi Zoltán</vt:lpwstr>
  </property>
  <property fmtid="{D5CDD505-2E9C-101B-9397-08002B2CF9AE}" pid="6" name="_ReviewingToolsShownOnce">
    <vt:lpwstr/>
  </property>
</Properties>
</file>